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B7FE" w14:textId="77777777" w:rsidR="00B57275" w:rsidRDefault="00B57275" w:rsidP="00B57275">
      <w:pPr>
        <w:spacing w:before="240"/>
        <w:jc w:val="both"/>
        <w:rPr>
          <w:rFonts w:ascii="Open Sans" w:hAnsi="Open Sans" w:cs="Open Sans"/>
          <w:color w:val="444444"/>
        </w:rPr>
      </w:pPr>
    </w:p>
    <w:p w14:paraId="27BE672F" w14:textId="01897A0A" w:rsidR="00B57275" w:rsidRPr="0002103B" w:rsidRDefault="00B57275" w:rsidP="00B57275">
      <w:pPr>
        <w:spacing w:before="240"/>
        <w:jc w:val="both"/>
        <w:rPr>
          <w:rFonts w:ascii="Open Sans" w:hAnsi="Open Sans" w:cs="Open Sans"/>
          <w:color w:val="444444"/>
        </w:rPr>
      </w:pPr>
      <w:r w:rsidRPr="0002103B">
        <w:rPr>
          <w:rFonts w:ascii="Open Sans" w:hAnsi="Open Sans" w:cs="Open Sans"/>
          <w:color w:val="444444"/>
        </w:rPr>
        <w:t xml:space="preserve">The 2023 revaluation of all real estate in the Town of </w:t>
      </w:r>
      <w:r>
        <w:rPr>
          <w:rFonts w:ascii="Open Sans" w:hAnsi="Open Sans" w:cs="Open Sans"/>
          <w:color w:val="444444"/>
        </w:rPr>
        <w:t>East Windsor</w:t>
      </w:r>
      <w:r w:rsidRPr="0002103B">
        <w:rPr>
          <w:rFonts w:ascii="Open Sans" w:hAnsi="Open Sans" w:cs="Open Sans"/>
          <w:color w:val="444444"/>
        </w:rPr>
        <w:t xml:space="preserve"> is complete. As per the General Statutes of the State of Connecticut (§12-55 &amp; §12-62(f) and local ordinance property owners. The new assessment represents 70% of the estimated fair market value as of October 1, 2023. The last revaluation was performed as of October 1, </w:t>
      </w:r>
      <w:r w:rsidR="001A060C">
        <w:rPr>
          <w:rFonts w:ascii="Open Sans" w:hAnsi="Open Sans" w:cs="Open Sans"/>
          <w:color w:val="444444"/>
        </w:rPr>
        <w:t>2017</w:t>
      </w:r>
      <w:r w:rsidRPr="0002103B">
        <w:rPr>
          <w:rFonts w:ascii="Open Sans" w:hAnsi="Open Sans" w:cs="Open Sans"/>
          <w:color w:val="444444"/>
        </w:rPr>
        <w:t>.</w:t>
      </w:r>
    </w:p>
    <w:p w14:paraId="4E894DBD" w14:textId="77777777" w:rsidR="00B57275" w:rsidRPr="008800F8" w:rsidRDefault="00B57275" w:rsidP="00B57275">
      <w:pPr>
        <w:spacing w:before="240"/>
        <w:jc w:val="both"/>
        <w:rPr>
          <w:rFonts w:ascii="Open Sans" w:eastAsiaTheme="majorEastAsia" w:hAnsi="Open Sans" w:cs="Open Sans"/>
          <w:b/>
          <w:bCs/>
          <w:color w:val="3F538D"/>
          <w:u w:val="single"/>
        </w:rPr>
      </w:pPr>
      <w:r w:rsidRPr="0002103B">
        <w:rPr>
          <w:rFonts w:ascii="Open Sans" w:hAnsi="Open Sans" w:cs="Open Sans"/>
          <w:color w:val="444444"/>
        </w:rPr>
        <w:t xml:space="preserve">An extensive analysis of the Town of </w:t>
      </w:r>
      <w:r>
        <w:rPr>
          <w:rFonts w:ascii="Open Sans" w:hAnsi="Open Sans" w:cs="Open Sans"/>
          <w:color w:val="444444"/>
        </w:rPr>
        <w:t>East Windsor</w:t>
      </w:r>
      <w:r w:rsidRPr="0002103B">
        <w:rPr>
          <w:rFonts w:ascii="Open Sans" w:hAnsi="Open Sans" w:cs="Open Sans"/>
          <w:color w:val="444444"/>
        </w:rPr>
        <w:t xml:space="preserve"> real estate market was recently performed to determine a fair and equitable market value of all real property in </w:t>
      </w:r>
      <w:r>
        <w:rPr>
          <w:rFonts w:ascii="Open Sans" w:hAnsi="Open Sans" w:cs="Open Sans"/>
          <w:color w:val="444444"/>
        </w:rPr>
        <w:t>East Windsor</w:t>
      </w:r>
      <w:r w:rsidRPr="0002103B">
        <w:rPr>
          <w:rFonts w:ascii="Open Sans" w:hAnsi="Open Sans" w:cs="Open Sans"/>
          <w:color w:val="444444"/>
        </w:rPr>
        <w:t xml:space="preserve">. </w:t>
      </w:r>
    </w:p>
    <w:p w14:paraId="0478396F" w14:textId="77777777" w:rsidR="00B57275" w:rsidRPr="0002103B" w:rsidRDefault="00B57275" w:rsidP="00B57275">
      <w:pPr>
        <w:spacing w:before="240"/>
        <w:jc w:val="both"/>
        <w:rPr>
          <w:rFonts w:ascii="Open Sans" w:hAnsi="Open Sans" w:cs="Open Sans"/>
          <w:color w:val="444444"/>
        </w:rPr>
      </w:pPr>
      <w:r w:rsidRPr="0002103B">
        <w:rPr>
          <w:rFonts w:ascii="Open Sans" w:hAnsi="Open Sans" w:cs="Open Sans"/>
          <w:b/>
          <w:bCs/>
          <w:color w:val="444444"/>
          <w:u w:val="single"/>
        </w:rPr>
        <w:t>Informal Hearings</w:t>
      </w:r>
    </w:p>
    <w:p w14:paraId="13400EC6" w14:textId="77777777" w:rsidR="00B57275" w:rsidRPr="0002103B" w:rsidRDefault="00B57275" w:rsidP="00B57275">
      <w:pPr>
        <w:spacing w:before="240"/>
        <w:jc w:val="both"/>
        <w:rPr>
          <w:rFonts w:ascii="Open Sans" w:hAnsi="Open Sans" w:cs="Open Sans"/>
          <w:color w:val="444444"/>
        </w:rPr>
      </w:pPr>
      <w:r w:rsidRPr="0002103B">
        <w:rPr>
          <w:rFonts w:ascii="Open Sans" w:hAnsi="Open Sans" w:cs="Open Sans"/>
          <w:color w:val="444444"/>
        </w:rPr>
        <w:t xml:space="preserve">If you believe the estimated 2023 market value should be different and wish to have your new proposed assessment reviewed with a representative of Municipal Valuation Services, LLC, you may do so by scheduling an appointment online, using the website listed below or by calling (203) 292-5500. </w:t>
      </w:r>
      <w:r w:rsidRPr="0002103B">
        <w:rPr>
          <w:rFonts w:ascii="Open Sans" w:hAnsi="Open Sans" w:cs="Open Sans"/>
          <w:color w:val="444444"/>
          <w:u w:val="single"/>
        </w:rPr>
        <w:t>All Informal hearings will be held by appointment only</w:t>
      </w:r>
      <w:r w:rsidRPr="0002103B">
        <w:rPr>
          <w:rFonts w:ascii="Open Sans" w:hAnsi="Open Sans" w:cs="Open Sans"/>
          <w:color w:val="444444"/>
        </w:rPr>
        <w:t xml:space="preserve"> at Town Hall (</w:t>
      </w:r>
      <w:r>
        <w:rPr>
          <w:rFonts w:ascii="Open Sans" w:hAnsi="Open Sans" w:cs="Open Sans"/>
          <w:color w:val="444444"/>
        </w:rPr>
        <w:t>11 Rye Street</w:t>
      </w:r>
      <w:r w:rsidRPr="0002103B">
        <w:rPr>
          <w:rFonts w:ascii="Open Sans" w:hAnsi="Open Sans" w:cs="Open Sans"/>
          <w:color w:val="444444"/>
        </w:rPr>
        <w:t xml:space="preserve">, </w:t>
      </w:r>
      <w:r>
        <w:rPr>
          <w:rFonts w:ascii="Open Sans" w:hAnsi="Open Sans" w:cs="Open Sans"/>
          <w:color w:val="444444"/>
        </w:rPr>
        <w:t>Broad Brook</w:t>
      </w:r>
      <w:r w:rsidRPr="0002103B">
        <w:rPr>
          <w:rFonts w:ascii="Open Sans" w:hAnsi="Open Sans" w:cs="Open Sans"/>
          <w:color w:val="444444"/>
        </w:rPr>
        <w:t>, Connecticut). Please provide any evidence supporting your opinion of value to the representative at the time of the review. Make sure to bring duplicated copies of your information, NO materials will be returned.</w:t>
      </w:r>
    </w:p>
    <w:p w14:paraId="1B83854B" w14:textId="77777777" w:rsidR="00B57275" w:rsidRPr="0002103B" w:rsidRDefault="00B57275" w:rsidP="00B57275">
      <w:pPr>
        <w:spacing w:before="240"/>
        <w:jc w:val="center"/>
        <w:rPr>
          <w:rFonts w:ascii="Open Sans" w:hAnsi="Open Sans" w:cs="Open Sans"/>
          <w:b/>
          <w:bCs/>
          <w:i/>
          <w:iCs/>
          <w:color w:val="444444"/>
        </w:rPr>
      </w:pPr>
      <w:r w:rsidRPr="0002103B">
        <w:rPr>
          <w:rFonts w:ascii="Open Sans" w:hAnsi="Open Sans" w:cs="Open Sans"/>
          <w:b/>
          <w:bCs/>
          <w:i/>
          <w:iCs/>
          <w:color w:val="444444"/>
        </w:rPr>
        <w:t>To schedule an appointment please go to:</w:t>
      </w:r>
    </w:p>
    <w:p w14:paraId="1F9D4D0A" w14:textId="77777777" w:rsidR="00B57275" w:rsidRPr="0002103B" w:rsidRDefault="001A060C" w:rsidP="00B57275">
      <w:pPr>
        <w:spacing w:before="240"/>
        <w:jc w:val="center"/>
        <w:rPr>
          <w:rFonts w:ascii="Open Sans" w:hAnsi="Open Sans" w:cs="Open Sans"/>
          <w:b/>
          <w:bCs/>
          <w:i/>
          <w:iCs/>
          <w:color w:val="444444"/>
        </w:rPr>
      </w:pPr>
      <w:hyperlink r:id="rId6" w:history="1">
        <w:r w:rsidR="00B57275" w:rsidRPr="0002103B">
          <w:rPr>
            <w:rStyle w:val="Hyperlink"/>
            <w:rFonts w:ascii="Open Sans" w:hAnsi="Open Sans" w:cs="Open Sans"/>
            <w:b/>
            <w:bCs/>
            <w:i/>
            <w:iCs/>
          </w:rPr>
          <w:t>www.munival.com/appointments</w:t>
        </w:r>
      </w:hyperlink>
      <w:r w:rsidR="00B57275" w:rsidRPr="0002103B">
        <w:rPr>
          <w:rFonts w:ascii="Open Sans" w:hAnsi="Open Sans" w:cs="Open Sans"/>
          <w:b/>
          <w:bCs/>
          <w:i/>
          <w:iCs/>
          <w:color w:val="444444"/>
        </w:rPr>
        <w:t xml:space="preserve"> and follow the instructions.</w:t>
      </w:r>
    </w:p>
    <w:p w14:paraId="70A13459" w14:textId="77777777" w:rsidR="00B57275" w:rsidRPr="0002103B" w:rsidRDefault="00B57275" w:rsidP="00B57275">
      <w:pPr>
        <w:spacing w:before="240"/>
        <w:jc w:val="center"/>
        <w:rPr>
          <w:rFonts w:ascii="Open Sans" w:hAnsi="Open Sans" w:cs="Open Sans"/>
          <w:b/>
          <w:bCs/>
          <w:color w:val="444444"/>
        </w:rPr>
      </w:pPr>
      <w:r w:rsidRPr="0002103B">
        <w:rPr>
          <w:rFonts w:ascii="Open Sans" w:hAnsi="Open Sans" w:cs="Open Sans"/>
          <w:b/>
          <w:bCs/>
          <w:color w:val="444444"/>
        </w:rPr>
        <w:t xml:space="preserve">Please book your appointment PRIOR to </w:t>
      </w:r>
      <w:r w:rsidRPr="008800F8">
        <w:rPr>
          <w:rFonts w:ascii="Open Sans" w:hAnsi="Open Sans" w:cs="Open Sans"/>
          <w:b/>
          <w:bCs/>
          <w:color w:val="444444"/>
          <w:highlight w:val="yellow"/>
        </w:rPr>
        <w:t>December 29, 2023.</w:t>
      </w:r>
    </w:p>
    <w:p w14:paraId="7362319D" w14:textId="77777777" w:rsidR="00B57275" w:rsidRPr="0002103B" w:rsidRDefault="00B57275" w:rsidP="00B57275">
      <w:pPr>
        <w:spacing w:before="240"/>
        <w:jc w:val="both"/>
        <w:rPr>
          <w:rFonts w:ascii="Open Sans" w:hAnsi="Open Sans" w:cs="Open Sans"/>
          <w:color w:val="444444"/>
        </w:rPr>
      </w:pPr>
      <w:r w:rsidRPr="0002103B">
        <w:rPr>
          <w:rFonts w:ascii="Open Sans" w:hAnsi="Open Sans" w:cs="Open Sans"/>
          <w:color w:val="444444"/>
        </w:rPr>
        <w:t xml:space="preserve">If you do not have access to a computer, you may call Municipal Valuation Services at </w:t>
      </w:r>
      <w:r w:rsidRPr="0002103B">
        <w:rPr>
          <w:rFonts w:ascii="Open Sans" w:hAnsi="Open Sans" w:cs="Open Sans"/>
          <w:b/>
          <w:bCs/>
          <w:color w:val="444444"/>
        </w:rPr>
        <w:t xml:space="preserve">(203) 292-5500 </w:t>
      </w:r>
      <w:r w:rsidRPr="0002103B">
        <w:rPr>
          <w:rFonts w:ascii="Open Sans" w:hAnsi="Open Sans" w:cs="Open Sans"/>
          <w:color w:val="444444"/>
        </w:rPr>
        <w:t>between the hours of 9:00 AM and 4:00 PM Monday – Friday excluding public holidays. Please keep in mind that the call center operators making the appointments are not qualified to discuss values or parcel data.</w:t>
      </w:r>
    </w:p>
    <w:p w14:paraId="19165AD5" w14:textId="77777777" w:rsidR="00B57275" w:rsidRPr="0002103B" w:rsidRDefault="00B57275" w:rsidP="00B57275">
      <w:pPr>
        <w:spacing w:before="240"/>
        <w:jc w:val="both"/>
        <w:rPr>
          <w:rFonts w:ascii="Open Sans" w:hAnsi="Open Sans" w:cs="Open Sans"/>
          <w:color w:val="444444"/>
        </w:rPr>
      </w:pPr>
      <w:r w:rsidRPr="0002103B">
        <w:rPr>
          <w:rFonts w:ascii="Open Sans" w:hAnsi="Open Sans" w:cs="Open Sans"/>
          <w:color w:val="444444"/>
        </w:rPr>
        <w:t xml:space="preserve">If you wish to appeal your assessment </w:t>
      </w:r>
      <w:r w:rsidRPr="0002103B">
        <w:rPr>
          <w:rFonts w:ascii="Open Sans" w:hAnsi="Open Sans" w:cs="Open Sans"/>
          <w:b/>
          <w:bCs/>
          <w:color w:val="444444"/>
          <w:u w:val="single"/>
        </w:rPr>
        <w:t>after</w:t>
      </w:r>
      <w:r w:rsidRPr="0002103B">
        <w:rPr>
          <w:rFonts w:ascii="Open Sans" w:hAnsi="Open Sans" w:cs="Open Sans"/>
          <w:color w:val="444444"/>
        </w:rPr>
        <w:t xml:space="preserve"> the informal Hearing, you may appeal to the Board of Assessment Appeals pursuant to C.G.S. §12-111. </w:t>
      </w:r>
      <w:proofErr w:type="gramStart"/>
      <w:r w:rsidRPr="0002103B">
        <w:rPr>
          <w:rFonts w:ascii="Open Sans" w:hAnsi="Open Sans" w:cs="Open Sans"/>
          <w:color w:val="444444"/>
        </w:rPr>
        <w:t>In order to</w:t>
      </w:r>
      <w:proofErr w:type="gramEnd"/>
      <w:r w:rsidRPr="0002103B">
        <w:rPr>
          <w:rFonts w:ascii="Open Sans" w:hAnsi="Open Sans" w:cs="Open Sans"/>
          <w:color w:val="444444"/>
        </w:rPr>
        <w:t xml:space="preserve"> appeal, you must file the appeal after the Grand List is approved and signed by the assessor on or about January 31, 2024.</w:t>
      </w:r>
    </w:p>
    <w:p w14:paraId="09A76E88" w14:textId="77777777" w:rsidR="00B57275" w:rsidRPr="00BB2101" w:rsidRDefault="00B57275" w:rsidP="00B57275">
      <w:pPr>
        <w:jc w:val="both"/>
        <w:rPr>
          <w:rFonts w:ascii="Open Sans" w:hAnsi="Open Sans" w:cs="Open Sans"/>
          <w:color w:val="444444"/>
        </w:rPr>
      </w:pPr>
      <w:r>
        <w:rPr>
          <w:rFonts w:ascii="Open Sans" w:hAnsi="Open Sans" w:cs="Open Sans"/>
          <w:color w:val="444444"/>
        </w:rPr>
        <w:br w:type="page"/>
      </w:r>
      <w:r w:rsidRPr="009B4736">
        <w:rPr>
          <w:b/>
          <w:bCs/>
        </w:rPr>
        <w:lastRenderedPageBreak/>
        <w:t xml:space="preserve">Section 12-111 of the General Statutes of the State of Connecticut as amended by P.A. 95-283.  Any </w:t>
      </w:r>
      <w:bookmarkStart w:id="0" w:name="_Hlk151972930"/>
      <w:r w:rsidRPr="009B4736">
        <w:rPr>
          <w:b/>
          <w:bCs/>
        </w:rPr>
        <w:t xml:space="preserve">person, including any lessee of real property whose lease has been recorded as provided in Section 47-19 and who is bound under the terms of his lease to pay property taxes and any person to whom title to such property has been transferred since the assessment date, claiming to be aggrieved by the doings of the assessors of such town may appeal there from to such Board of Assessment Appeals. Such appeal shall be filed, in writing, on or before February 20th (twentieth). The written appeal shall include, but is not limited to, the property owner's name, name and position of the signer, description of the property which is the subject of the appeal, name and mailing address of the party to be sent all correspondence by the Board of Assessment Appeals, reason for the appeal, appellant's estimate of value, signature of the property owner, or duly authorized agent of the property owner, and date of signature. The Board shall notify each aggrieved taxpayer who filed a written appeal in the proper form and in a timely manner, no later than March first immediately following the assessment date, of the date, time and place of the appeal hearing. Such notice shall be sent no later than seven calendar days preceding the hearing date except that the Board may elect not to conduct an appeal hearing for any commercial, industrial, utility or apartment property with an assessed value greater than </w:t>
      </w:r>
      <w:r w:rsidRPr="009B4736">
        <w:rPr>
          <w:rFonts w:ascii="Verdana" w:eastAsia="Verdana" w:hAnsi="Verdana" w:cs="Verdana"/>
          <w:b/>
          <w:bCs/>
        </w:rPr>
        <w:t>one million dollars</w:t>
      </w:r>
      <w:r w:rsidRPr="009B4736">
        <w:rPr>
          <w:b/>
          <w:bCs/>
        </w:rPr>
        <w:t xml:space="preserve">. The Board shall, not later than March first, notify the appellant that the Board has elected not to conduct an appeal hearing … Pursuant to CT Statutes Sec. 12-117a, </w:t>
      </w:r>
      <w:proofErr w:type="gramStart"/>
      <w:r w:rsidRPr="009B4736">
        <w:rPr>
          <w:rFonts w:ascii="Times New Roman" w:eastAsia="Times New Roman" w:hAnsi="Times New Roman" w:cs="Times New Roman"/>
          <w:b/>
          <w:bCs/>
        </w:rPr>
        <w:t>Any</w:t>
      </w:r>
      <w:proofErr w:type="gramEnd"/>
      <w:r w:rsidRPr="009B4736">
        <w:rPr>
          <w:rFonts w:ascii="Times New Roman" w:eastAsia="Times New Roman" w:hAnsi="Times New Roman" w:cs="Times New Roman"/>
          <w:b/>
          <w:bCs/>
        </w:rPr>
        <w:t xml:space="preserve"> person claiming to be aggrieved by the action of the Board, may within two months of the date, of the mailing of the decision, appeal to the superior court.</w:t>
      </w:r>
      <w:bookmarkEnd w:id="0"/>
    </w:p>
    <w:p w14:paraId="482F68C2" w14:textId="77777777" w:rsidR="00E31FE0" w:rsidRDefault="00E31FE0"/>
    <w:sectPr w:rsidR="00E31FE0" w:rsidSect="00BE3A1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8FF9" w14:textId="77777777" w:rsidR="001A060C" w:rsidRDefault="001A060C">
      <w:r>
        <w:separator/>
      </w:r>
    </w:p>
  </w:endnote>
  <w:endnote w:type="continuationSeparator" w:id="0">
    <w:p w14:paraId="7FE69D11" w14:textId="77777777" w:rsidR="001A060C" w:rsidRDefault="001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8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106"/>
      <w:gridCol w:w="3099"/>
    </w:tblGrid>
    <w:tr w:rsidR="00E437CE" w14:paraId="7C086AFF" w14:textId="77777777" w:rsidTr="00E437CE">
      <w:tc>
        <w:tcPr>
          <w:tcW w:w="3335" w:type="dxa"/>
          <w:vAlign w:val="center"/>
        </w:tcPr>
        <w:p w14:paraId="77480004" w14:textId="77777777" w:rsidR="00B57275" w:rsidRPr="00E437CE" w:rsidRDefault="00B57275" w:rsidP="00E437CE">
          <w:pPr>
            <w:rPr>
              <w:rStyle w:val="PageNumber"/>
              <w:rFonts w:asciiTheme="minorHAnsi" w:hAnsiTheme="minorHAnsi" w:cstheme="minorHAnsi"/>
              <w:sz w:val="22"/>
              <w:szCs w:val="22"/>
            </w:rPr>
          </w:pPr>
        </w:p>
        <w:p w14:paraId="20358487" w14:textId="77777777" w:rsidR="00B57275" w:rsidRPr="00E437CE" w:rsidRDefault="00B57275" w:rsidP="00E437CE">
          <w:pPr>
            <w:rPr>
              <w:rStyle w:val="PageNumber"/>
              <w:rFonts w:asciiTheme="minorHAnsi" w:hAnsiTheme="minorHAnsi" w:cstheme="minorHAnsi"/>
              <w:sz w:val="22"/>
              <w:szCs w:val="22"/>
            </w:rPr>
          </w:pPr>
          <w:r w:rsidRPr="00E437CE">
            <w:rPr>
              <w:rStyle w:val="PageNumber"/>
              <w:rFonts w:asciiTheme="minorHAnsi" w:hAnsiTheme="minorHAnsi" w:cstheme="minorHAnsi"/>
              <w:color w:val="244061"/>
              <w:sz w:val="22"/>
              <w:szCs w:val="22"/>
            </w:rPr>
            <w:t>Municipal</w:t>
          </w:r>
          <w:r w:rsidRPr="00E437CE">
            <w:rPr>
              <w:rStyle w:val="PageNumber"/>
              <w:rFonts w:asciiTheme="minorHAnsi" w:hAnsiTheme="minorHAnsi" w:cstheme="minorHAnsi"/>
              <w:sz w:val="22"/>
              <w:szCs w:val="22"/>
            </w:rPr>
            <w:t xml:space="preserve"> </w:t>
          </w:r>
          <w:r w:rsidRPr="00E437CE">
            <w:rPr>
              <w:rStyle w:val="PageNumber"/>
              <w:rFonts w:asciiTheme="minorHAnsi" w:hAnsiTheme="minorHAnsi" w:cstheme="minorHAnsi"/>
              <w:color w:val="244061"/>
              <w:sz w:val="22"/>
              <w:szCs w:val="22"/>
            </w:rPr>
            <w:t>Valuation</w:t>
          </w:r>
          <w:r w:rsidRPr="00E437CE">
            <w:rPr>
              <w:rStyle w:val="PageNumber"/>
              <w:rFonts w:asciiTheme="minorHAnsi" w:hAnsiTheme="minorHAnsi" w:cstheme="minorHAnsi"/>
              <w:sz w:val="22"/>
              <w:szCs w:val="22"/>
            </w:rPr>
            <w:t xml:space="preserve"> Services, LLC</w:t>
          </w:r>
        </w:p>
      </w:tc>
      <w:tc>
        <w:tcPr>
          <w:tcW w:w="3106" w:type="dxa"/>
          <w:vAlign w:val="center"/>
        </w:tcPr>
        <w:p w14:paraId="4029F840" w14:textId="77777777" w:rsidR="00B57275" w:rsidRPr="00E437CE" w:rsidRDefault="00B57275" w:rsidP="00E437CE">
          <w:pPr>
            <w:jc w:val="center"/>
            <w:rPr>
              <w:rStyle w:val="PageNumber"/>
              <w:rFonts w:asciiTheme="minorHAnsi" w:hAnsiTheme="minorHAnsi" w:cstheme="minorHAnsi"/>
              <w:sz w:val="22"/>
              <w:szCs w:val="22"/>
            </w:rPr>
          </w:pPr>
        </w:p>
        <w:p w14:paraId="2525747C" w14:textId="77777777" w:rsidR="00B57275" w:rsidRPr="00E437CE" w:rsidRDefault="00B57275" w:rsidP="00E437CE">
          <w:pPr>
            <w:jc w:val="center"/>
            <w:rPr>
              <w:rStyle w:val="PageNumber"/>
              <w:rFonts w:asciiTheme="minorHAnsi" w:hAnsiTheme="minorHAnsi" w:cstheme="minorHAnsi"/>
              <w:sz w:val="22"/>
              <w:szCs w:val="22"/>
            </w:rPr>
          </w:pPr>
          <w:r w:rsidRPr="00E437CE">
            <w:rPr>
              <w:rStyle w:val="PageNumber"/>
              <w:rFonts w:cstheme="minorHAnsi"/>
            </w:rPr>
            <w:fldChar w:fldCharType="begin"/>
          </w:r>
          <w:r w:rsidRPr="00E437CE">
            <w:rPr>
              <w:rStyle w:val="PageNumber"/>
              <w:rFonts w:asciiTheme="minorHAnsi" w:hAnsiTheme="minorHAnsi" w:cstheme="minorHAnsi"/>
              <w:sz w:val="22"/>
              <w:szCs w:val="22"/>
            </w:rPr>
            <w:instrText xml:space="preserve"> PAGE </w:instrText>
          </w:r>
          <w:r w:rsidRPr="00E437CE">
            <w:rPr>
              <w:rStyle w:val="PageNumber"/>
              <w:rFonts w:cstheme="minorHAnsi"/>
            </w:rPr>
            <w:fldChar w:fldCharType="separate"/>
          </w:r>
          <w:r w:rsidRPr="00E437CE">
            <w:rPr>
              <w:rStyle w:val="PageNumber"/>
              <w:rFonts w:asciiTheme="minorHAnsi" w:hAnsiTheme="minorHAnsi" w:cstheme="minorHAnsi"/>
              <w:noProof/>
              <w:sz w:val="22"/>
              <w:szCs w:val="22"/>
            </w:rPr>
            <w:t>34</w:t>
          </w:r>
          <w:r w:rsidRPr="00E437CE">
            <w:rPr>
              <w:rStyle w:val="PageNumber"/>
              <w:rFonts w:cstheme="minorHAnsi"/>
            </w:rPr>
            <w:fldChar w:fldCharType="end"/>
          </w:r>
        </w:p>
      </w:tc>
      <w:tc>
        <w:tcPr>
          <w:tcW w:w="3099" w:type="dxa"/>
        </w:tcPr>
        <w:p w14:paraId="28F28C98" w14:textId="77777777" w:rsidR="00B57275" w:rsidRDefault="00B57275" w:rsidP="00E437CE">
          <w:pPr>
            <w:jc w:val="right"/>
            <w:rPr>
              <w:rStyle w:val="PageNumber"/>
            </w:rPr>
          </w:pPr>
          <w:r>
            <w:rPr>
              <w:noProof/>
            </w:rPr>
            <w:drawing>
              <wp:anchor distT="0" distB="0" distL="114300" distR="114300" simplePos="0" relativeHeight="251662336" behindDoc="1" locked="0" layoutInCell="1" allowOverlap="1" wp14:anchorId="75C1EE74" wp14:editId="2BE5D246">
                <wp:simplePos x="0" y="0"/>
                <wp:positionH relativeFrom="margin">
                  <wp:align>right</wp:align>
                </wp:positionH>
                <wp:positionV relativeFrom="paragraph">
                  <wp:posOffset>8890</wp:posOffset>
                </wp:positionV>
                <wp:extent cx="708660" cy="539115"/>
                <wp:effectExtent l="0" t="0" r="0" b="0"/>
                <wp:wrapNone/>
                <wp:docPr id="722732388" name="Picture 722732388" descr="mvs_left_bar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s_left_bar_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39115"/>
                        </a:xfrm>
                        <a:prstGeom prst="rect">
                          <a:avLst/>
                        </a:prstGeom>
                        <a:noFill/>
                      </pic:spPr>
                    </pic:pic>
                  </a:graphicData>
                </a:graphic>
                <wp14:sizeRelH relativeFrom="page">
                  <wp14:pctWidth>0</wp14:pctWidth>
                </wp14:sizeRelH>
                <wp14:sizeRelV relativeFrom="page">
                  <wp14:pctHeight>0</wp14:pctHeight>
                </wp14:sizeRelV>
              </wp:anchor>
            </w:drawing>
          </w:r>
        </w:p>
      </w:tc>
    </w:tr>
  </w:tbl>
  <w:p w14:paraId="69FDB949" w14:textId="77777777" w:rsidR="00B57275" w:rsidRDefault="00B57275" w:rsidP="00BB2101">
    <w:pPr>
      <w:pStyle w:val="Default"/>
      <w:spacing w:line="216"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13A5" w14:textId="77777777" w:rsidR="00B57275" w:rsidRDefault="00B57275" w:rsidP="00BB2101">
    <w:pPr>
      <w:pStyle w:val="Default"/>
      <w:pBdr>
        <w:bottom w:val="single" w:sz="6" w:space="1" w:color="auto"/>
      </w:pBdr>
      <w:spacing w:line="216" w:lineRule="atLeast"/>
      <w:rPr>
        <w:b/>
        <w:bCs/>
        <w:color w:val="002F53"/>
        <w:sz w:val="18"/>
        <w:szCs w:val="18"/>
      </w:rPr>
    </w:pPr>
    <w:r>
      <w:rPr>
        <w:noProof/>
      </w:rPr>
      <w:drawing>
        <wp:anchor distT="0" distB="0" distL="114300" distR="114300" simplePos="0" relativeHeight="251661312" behindDoc="1" locked="0" layoutInCell="1" allowOverlap="1" wp14:anchorId="54BC61CA" wp14:editId="5A006224">
          <wp:simplePos x="0" y="0"/>
          <wp:positionH relativeFrom="column">
            <wp:posOffset>3448049</wp:posOffset>
          </wp:positionH>
          <wp:positionV relativeFrom="paragraph">
            <wp:posOffset>-1693069</wp:posOffset>
          </wp:positionV>
          <wp:extent cx="3383915" cy="2607350"/>
          <wp:effectExtent l="0" t="0" r="6985" b="2540"/>
          <wp:wrapNone/>
          <wp:docPr id="2084199059" name="Picture 2084199059" descr="A drawing compass and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649435" name="Picture 1" descr="A drawing compass and a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0390" cy="2620044"/>
                  </a:xfrm>
                  <a:prstGeom prst="rect">
                    <a:avLst/>
                  </a:prstGeom>
                </pic:spPr>
              </pic:pic>
            </a:graphicData>
          </a:graphic>
          <wp14:sizeRelH relativeFrom="margin">
            <wp14:pctWidth>0</wp14:pctWidth>
          </wp14:sizeRelH>
          <wp14:sizeRelV relativeFrom="margin">
            <wp14:pctHeight>0</wp14:pctHeight>
          </wp14:sizeRelV>
        </wp:anchor>
      </w:drawing>
    </w:r>
  </w:p>
  <w:p w14:paraId="432660DB" w14:textId="77777777" w:rsidR="00B57275" w:rsidRDefault="00B57275" w:rsidP="00BB2101">
    <w:pPr>
      <w:pStyle w:val="Default"/>
      <w:spacing w:line="216" w:lineRule="atLeast"/>
      <w:jc w:val="center"/>
      <w:rPr>
        <w:sz w:val="18"/>
        <w:szCs w:val="18"/>
      </w:rPr>
    </w:pPr>
    <w:r>
      <w:rPr>
        <w:b/>
        <w:bCs/>
        <w:color w:val="002F53"/>
        <w:sz w:val="18"/>
        <w:szCs w:val="18"/>
      </w:rPr>
      <w:t>Municipal Valuation Services, LLC</w:t>
    </w:r>
    <w:r>
      <w:rPr>
        <w:color w:val="002F53"/>
        <w:sz w:val="18"/>
        <w:szCs w:val="18"/>
      </w:rPr>
      <w:t xml:space="preserve"> • </w:t>
    </w:r>
    <w:r w:rsidRPr="009D1071">
      <w:rPr>
        <w:i/>
        <w:color w:val="002F53"/>
        <w:sz w:val="18"/>
        <w:szCs w:val="18"/>
      </w:rPr>
      <w:t>Complete Tax Assessment Solutions</w:t>
    </w:r>
    <w:r>
      <w:rPr>
        <w:color w:val="002F53"/>
        <w:sz w:val="18"/>
        <w:szCs w:val="18"/>
      </w:rPr>
      <w:t xml:space="preserve"> • www.munival.com</w:t>
    </w:r>
    <w:r>
      <w:rPr>
        <w:sz w:val="18"/>
        <w:szCs w:val="18"/>
      </w:rPr>
      <w:t xml:space="preserve"> </w:t>
    </w:r>
  </w:p>
  <w:p w14:paraId="325E8913" w14:textId="77777777" w:rsidR="00B57275" w:rsidRDefault="00B57275" w:rsidP="00BB2101">
    <w:pPr>
      <w:pStyle w:val="Default"/>
      <w:spacing w:line="216" w:lineRule="atLeast"/>
      <w:jc w:val="center"/>
    </w:pPr>
    <w:r>
      <w:rPr>
        <w:color w:val="002F53"/>
        <w:sz w:val="18"/>
        <w:szCs w:val="18"/>
      </w:rPr>
      <w:t>23 Sherman Street • Fairfield, CT 06824 • 203-292-5500 voice • 203-259-9501 fax</w:t>
    </w:r>
    <w:r w:rsidRPr="00BB3E90">
      <w:rPr>
        <w:color w:val="323E4F"/>
        <w:sz w:val="18"/>
        <w:szCs w:val="18"/>
      </w:rPr>
      <w:t xml:space="preserve"> </w:t>
    </w:r>
  </w:p>
  <w:p w14:paraId="6FBD7DBC" w14:textId="77777777" w:rsidR="00B57275" w:rsidRDefault="00B57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6851" w14:textId="77777777" w:rsidR="001A060C" w:rsidRDefault="001A060C">
      <w:r>
        <w:separator/>
      </w:r>
    </w:p>
  </w:footnote>
  <w:footnote w:type="continuationSeparator" w:id="0">
    <w:p w14:paraId="39FBCEF1" w14:textId="77777777" w:rsidR="001A060C" w:rsidRDefault="001A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C3E6" w14:textId="77777777" w:rsidR="00B57275" w:rsidRPr="000A6667" w:rsidRDefault="00B57275" w:rsidP="000A6667">
    <w:pPr>
      <w:pStyle w:val="Header"/>
      <w:rPr>
        <w:sz w:val="28"/>
        <w:szCs w:val="28"/>
      </w:rPr>
    </w:pPr>
    <w:r>
      <w:rPr>
        <w:noProof/>
      </w:rPr>
      <w:drawing>
        <wp:anchor distT="0" distB="0" distL="114300" distR="114300" simplePos="0" relativeHeight="251659264" behindDoc="1" locked="0" layoutInCell="1" allowOverlap="1" wp14:anchorId="2AC0A444" wp14:editId="3B6AA091">
          <wp:simplePos x="0" y="0"/>
          <wp:positionH relativeFrom="margin">
            <wp:posOffset>4762500</wp:posOffset>
          </wp:positionH>
          <wp:positionV relativeFrom="margin">
            <wp:posOffset>-752255</wp:posOffset>
          </wp:positionV>
          <wp:extent cx="1175630" cy="1057275"/>
          <wp:effectExtent l="0" t="0" r="5715" b="0"/>
          <wp:wrapNone/>
          <wp:docPr id="1706591386" name="Picture 170659138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75630" cy="1057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49EA8AE" wp14:editId="55B9D20F">
          <wp:simplePos x="0" y="0"/>
          <wp:positionH relativeFrom="margin">
            <wp:align>left</wp:align>
          </wp:positionH>
          <wp:positionV relativeFrom="paragraph">
            <wp:posOffset>-240030</wp:posOffset>
          </wp:positionV>
          <wp:extent cx="974725" cy="1000125"/>
          <wp:effectExtent l="0" t="0" r="0" b="9525"/>
          <wp:wrapNone/>
          <wp:docPr id="719110295" name="Picture 719110295" descr="A red tri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492922" name="Picture 1" descr="A red triangle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7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75"/>
    <w:rsid w:val="001A060C"/>
    <w:rsid w:val="00B57275"/>
    <w:rsid w:val="00E3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35A0"/>
  <w15:chartTrackingRefBased/>
  <w15:docId w15:val="{803EFE2E-8320-44D2-9F3A-CF5DD8ED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75"/>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275"/>
    <w:rPr>
      <w:color w:val="1F3864" w:themeColor="accent1" w:themeShade="80"/>
      <w:u w:val="single"/>
    </w:rPr>
  </w:style>
  <w:style w:type="paragraph" w:styleId="Header">
    <w:name w:val="header"/>
    <w:basedOn w:val="Normal"/>
    <w:link w:val="HeaderChar"/>
    <w:uiPriority w:val="99"/>
    <w:unhideWhenUsed/>
    <w:rsid w:val="00B57275"/>
  </w:style>
  <w:style w:type="character" w:customStyle="1" w:styleId="HeaderChar">
    <w:name w:val="Header Char"/>
    <w:basedOn w:val="DefaultParagraphFont"/>
    <w:link w:val="Header"/>
    <w:uiPriority w:val="99"/>
    <w:rsid w:val="00B57275"/>
    <w:rPr>
      <w:kern w:val="0"/>
      <w14:ligatures w14:val="none"/>
    </w:rPr>
  </w:style>
  <w:style w:type="paragraph" w:styleId="Footer">
    <w:name w:val="footer"/>
    <w:basedOn w:val="Normal"/>
    <w:link w:val="FooterChar"/>
    <w:uiPriority w:val="99"/>
    <w:unhideWhenUsed/>
    <w:rsid w:val="00B57275"/>
  </w:style>
  <w:style w:type="character" w:customStyle="1" w:styleId="FooterChar">
    <w:name w:val="Footer Char"/>
    <w:basedOn w:val="DefaultParagraphFont"/>
    <w:link w:val="Footer"/>
    <w:uiPriority w:val="99"/>
    <w:rsid w:val="00B57275"/>
    <w:rPr>
      <w:kern w:val="0"/>
      <w14:ligatures w14:val="none"/>
    </w:rPr>
  </w:style>
  <w:style w:type="paragraph" w:customStyle="1" w:styleId="Default">
    <w:name w:val="Default"/>
    <w:rsid w:val="00B57275"/>
    <w:pPr>
      <w:widowControl w:val="0"/>
      <w:autoSpaceDE w:val="0"/>
      <w:autoSpaceDN w:val="0"/>
      <w:adjustRightInd w:val="0"/>
      <w:spacing w:after="0" w:line="240" w:lineRule="auto"/>
    </w:pPr>
    <w:rPr>
      <w:rFonts w:ascii="Myriad Pro" w:eastAsia="Times New Roman" w:hAnsi="Myriad Pro" w:cs="Myriad Pro"/>
      <w:color w:val="000000"/>
      <w:kern w:val="0"/>
      <w:sz w:val="24"/>
      <w:szCs w:val="24"/>
      <w14:ligatures w14:val="none"/>
    </w:rPr>
  </w:style>
  <w:style w:type="table" w:styleId="TableGrid">
    <w:name w:val="Table Grid"/>
    <w:basedOn w:val="TableNormal"/>
    <w:uiPriority w:val="59"/>
    <w:rsid w:val="00B5727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5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nival.com/appointm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 Sierras</dc:creator>
  <cp:keywords/>
  <dc:description/>
  <cp:lastModifiedBy>Lexus Sierras</cp:lastModifiedBy>
  <cp:revision>2</cp:revision>
  <dcterms:created xsi:type="dcterms:W3CDTF">2023-11-28T16:50:00Z</dcterms:created>
  <dcterms:modified xsi:type="dcterms:W3CDTF">2023-11-28T16:56:00Z</dcterms:modified>
</cp:coreProperties>
</file>